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36" w:rsidRPr="00884B7F" w:rsidRDefault="00813036" w:rsidP="00802B9C">
      <w:pPr>
        <w:tabs>
          <w:tab w:val="right" w:pos="9072"/>
        </w:tabs>
        <w:spacing w:line="230" w:lineRule="exact"/>
        <w:rPr>
          <w:rFonts w:ascii="Arial" w:hAnsi="Arial" w:cs="Arial"/>
          <w:color w:val="006AAF"/>
          <w:sz w:val="18"/>
          <w:szCs w:val="18"/>
        </w:rPr>
      </w:pPr>
      <w:bookmarkStart w:id="0" w:name="_Toc14834783"/>
      <w:r w:rsidRPr="00F744EA">
        <w:rPr>
          <w:rFonts w:ascii="Arial" w:hAnsi="Arial" w:cs="Arial"/>
          <w:color w:val="006AAF"/>
        </w:rPr>
        <w:tab/>
      </w:r>
    </w:p>
    <w:p w:rsidR="00884B7F" w:rsidRPr="00E36D3C" w:rsidRDefault="00884B7F" w:rsidP="00802B9C">
      <w:pPr>
        <w:rPr>
          <w:sz w:val="20"/>
          <w:szCs w:val="20"/>
        </w:rPr>
      </w:pPr>
      <w:r w:rsidRPr="00E36D3C">
        <w:rPr>
          <w:sz w:val="20"/>
          <w:szCs w:val="20"/>
        </w:rPr>
        <w:t xml:space="preserve">                                                                     </w:t>
      </w:r>
    </w:p>
    <w:p w:rsidR="00884B7F" w:rsidRPr="00E36D3C" w:rsidRDefault="006C58A1" w:rsidP="00802B9C">
      <w:pPr>
        <w:pStyle w:val="Nadpis1"/>
        <w:pBdr>
          <w:top w:val="single" w:sz="4" w:space="0" w:color="auto"/>
          <w:left w:val="single" w:sz="4" w:space="0" w:color="auto"/>
          <w:bottom w:val="single" w:sz="4" w:space="1" w:color="auto"/>
          <w:right w:val="single" w:sz="4" w:space="0" w:color="auto"/>
        </w:pBdr>
        <w:shd w:val="clear" w:color="auto" w:fill="D9D9D9"/>
        <w:spacing w:before="0" w:after="0" w:line="280" w:lineRule="atLeast"/>
        <w:jc w:val="center"/>
        <w:rPr>
          <w:rFonts w:ascii="Arial" w:hAnsi="Arial" w:cs="Arial"/>
          <w:sz w:val="22"/>
          <w:szCs w:val="22"/>
        </w:rPr>
      </w:pPr>
      <w:r>
        <w:rPr>
          <w:rFonts w:ascii="Arial" w:hAnsi="Arial" w:cs="Arial"/>
          <w:sz w:val="22"/>
          <w:szCs w:val="22"/>
        </w:rPr>
        <w:t>SPECIFIKACE PŘEDMĚTU PLNĚNÍ</w:t>
      </w:r>
    </w:p>
    <w:p w:rsidR="00884B7F" w:rsidRDefault="00884B7F" w:rsidP="00802B9C">
      <w:pPr>
        <w:adjustRightInd w:val="0"/>
        <w:spacing w:line="280" w:lineRule="atLeast"/>
        <w:rPr>
          <w:rFonts w:ascii="Arial" w:hAnsi="Arial" w:cs="Arial"/>
          <w:b/>
          <w:color w:val="000000"/>
        </w:rPr>
      </w:pPr>
    </w:p>
    <w:bookmarkEnd w:id="0"/>
    <w:p w:rsidR="00FE0E58" w:rsidRDefault="00FE0E58" w:rsidP="00802B9C">
      <w:pPr>
        <w:spacing w:after="120" w:line="240" w:lineRule="auto"/>
        <w:rPr>
          <w:rFonts w:ascii="Calibri" w:hAnsi="Calibri" w:cs="Arial"/>
          <w:bCs/>
          <w:iCs/>
          <w:color w:val="000000"/>
          <w:sz w:val="22"/>
          <w:szCs w:val="22"/>
        </w:rPr>
      </w:pPr>
    </w:p>
    <w:p w:rsidR="00E94A90" w:rsidRDefault="00C2780B" w:rsidP="00802B9C">
      <w:pPr>
        <w:spacing w:after="120" w:line="240" w:lineRule="auto"/>
        <w:rPr>
          <w:rFonts w:ascii="Arial" w:hAnsi="Arial" w:cs="Arial"/>
          <w:color w:val="000000"/>
          <w:sz w:val="20"/>
          <w:szCs w:val="20"/>
          <w:u w:val="single"/>
        </w:rPr>
      </w:pPr>
      <w:r w:rsidRPr="00C2780B">
        <w:rPr>
          <w:rFonts w:ascii="Calibri" w:hAnsi="Calibri" w:cs="Arial"/>
          <w:bCs/>
          <w:iCs/>
          <w:color w:val="000000"/>
          <w:sz w:val="22"/>
          <w:szCs w:val="22"/>
        </w:rPr>
        <w:t>Předmětem plnění veřejné zakázky je pojištění služebních vozidel ČSÚ. Pojištění bude zahrnovat pojištění odpovědnosti z provozu motorových vozidel, havarijní pojištění služebních vozů zadavatele dále pojištění čelního skla, úrazové pojištění a asistenční služby v rozsahu požadovaném zadavatelem.</w:t>
      </w:r>
    </w:p>
    <w:p w:rsidR="001B07A5" w:rsidRDefault="001B07A5" w:rsidP="00802B9C">
      <w:pPr>
        <w:spacing w:after="120" w:line="240" w:lineRule="auto"/>
        <w:rPr>
          <w:rFonts w:ascii="Calibri" w:hAnsi="Calibri"/>
          <w:b/>
          <w:sz w:val="22"/>
          <w:szCs w:val="22"/>
          <w:u w:val="single"/>
        </w:rPr>
      </w:pPr>
    </w:p>
    <w:p w:rsidR="00E94A90" w:rsidRPr="001B07A5" w:rsidRDefault="00E94A90" w:rsidP="00802B9C">
      <w:pPr>
        <w:spacing w:after="120" w:line="240" w:lineRule="auto"/>
        <w:rPr>
          <w:rFonts w:ascii="Calibri" w:hAnsi="Calibri"/>
          <w:b/>
          <w:sz w:val="22"/>
          <w:szCs w:val="22"/>
          <w:u w:val="single"/>
        </w:rPr>
      </w:pPr>
      <w:r w:rsidRPr="001B07A5">
        <w:rPr>
          <w:rFonts w:ascii="Calibri" w:hAnsi="Calibri"/>
          <w:b/>
          <w:sz w:val="22"/>
          <w:szCs w:val="22"/>
          <w:u w:val="single"/>
        </w:rPr>
        <w:t>Rozsah pojištění:</w:t>
      </w:r>
    </w:p>
    <w:p w:rsidR="00802B9C" w:rsidRPr="00802B9C" w:rsidRDefault="00802B9C" w:rsidP="00802B9C">
      <w:pPr>
        <w:numPr>
          <w:ilvl w:val="0"/>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Pojištění odpovědnosti s limity plnění min. 50 mil. Kč na zdraví / 50 mil. Kč na věci a ušlém zisku</w:t>
      </w:r>
    </w:p>
    <w:p w:rsidR="00802B9C" w:rsidRPr="00802B9C" w:rsidRDefault="00802B9C" w:rsidP="00802B9C">
      <w:pPr>
        <w:numPr>
          <w:ilvl w:val="0"/>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 xml:space="preserve"> Havarijní pojištění:</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proofErr w:type="spellStart"/>
      <w:r w:rsidRPr="00802B9C">
        <w:rPr>
          <w:rFonts w:ascii="Calibri" w:hAnsi="Calibri" w:cs="Arial"/>
          <w:color w:val="000000"/>
          <w:sz w:val="22"/>
          <w:szCs w:val="22"/>
        </w:rPr>
        <w:t>All</w:t>
      </w:r>
      <w:proofErr w:type="spellEnd"/>
      <w:r w:rsidRPr="00802B9C">
        <w:rPr>
          <w:rFonts w:ascii="Calibri" w:hAnsi="Calibri" w:cs="Arial"/>
          <w:color w:val="000000"/>
          <w:sz w:val="22"/>
          <w:szCs w:val="22"/>
        </w:rPr>
        <w:t xml:space="preserve"> risk (havárie, živel, odcizení, vandalismus)</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územní platnost Evropa</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pojistn</w:t>
      </w:r>
      <w:r w:rsidR="000C6970">
        <w:rPr>
          <w:rFonts w:ascii="Calibri" w:hAnsi="Calibri" w:cs="Arial"/>
          <w:color w:val="000000"/>
          <w:sz w:val="22"/>
          <w:szCs w:val="22"/>
        </w:rPr>
        <w:t>á částka na novou i obecnou cenu</w:t>
      </w:r>
      <w:r w:rsidRPr="00802B9C">
        <w:rPr>
          <w:rFonts w:ascii="Calibri" w:hAnsi="Calibri" w:cs="Arial"/>
          <w:color w:val="000000"/>
          <w:sz w:val="22"/>
          <w:szCs w:val="22"/>
        </w:rPr>
        <w:t xml:space="preserve"> vozidla</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spoluúčast 5% min. 5000 Kč</w:t>
      </w:r>
    </w:p>
    <w:p w:rsidR="00802B9C" w:rsidRPr="00802B9C" w:rsidRDefault="00802B9C" w:rsidP="00802B9C">
      <w:pPr>
        <w:numPr>
          <w:ilvl w:val="0"/>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Čelní sklo:</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proofErr w:type="spellStart"/>
      <w:r w:rsidRPr="00802B9C">
        <w:rPr>
          <w:rFonts w:ascii="Calibri" w:hAnsi="Calibri" w:cs="Arial"/>
          <w:color w:val="000000"/>
          <w:sz w:val="22"/>
          <w:szCs w:val="22"/>
        </w:rPr>
        <w:t>All</w:t>
      </w:r>
      <w:proofErr w:type="spellEnd"/>
      <w:r w:rsidRPr="00802B9C">
        <w:rPr>
          <w:rFonts w:ascii="Calibri" w:hAnsi="Calibri" w:cs="Arial"/>
          <w:color w:val="000000"/>
          <w:sz w:val="22"/>
          <w:szCs w:val="22"/>
        </w:rPr>
        <w:t xml:space="preserve"> risk (havárie, živel, odcizení, vandalismus)</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územní platnost celá Evropa</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pojistná částka 10 000 Kč (limit pro jednu pojistnou událost)</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bez spoluúčasti</w:t>
      </w:r>
    </w:p>
    <w:p w:rsidR="00802B9C" w:rsidRPr="00802B9C" w:rsidRDefault="00802B9C" w:rsidP="00802B9C">
      <w:pPr>
        <w:numPr>
          <w:ilvl w:val="0"/>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 xml:space="preserve"> Úrazové pojištění:</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veškerá sedadla dle technického průkazu</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pojistné částka 100 000 Kč pro případ smrti / 100 000 Kč pro případ trvalých následků</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ke všem vozidlům</w:t>
      </w:r>
    </w:p>
    <w:p w:rsidR="00802B9C" w:rsidRPr="00802B9C" w:rsidRDefault="00802B9C" w:rsidP="00802B9C">
      <w:pPr>
        <w:numPr>
          <w:ilvl w:val="0"/>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Asistenční služby – minimální rozsah:</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porucha či havárie na ú</w:t>
      </w:r>
      <w:r w:rsidR="00EA5BD1">
        <w:rPr>
          <w:rFonts w:ascii="Calibri" w:hAnsi="Calibri" w:cs="Arial"/>
          <w:color w:val="000000"/>
          <w:sz w:val="22"/>
          <w:szCs w:val="22"/>
        </w:rPr>
        <w:t>zemí ČR (min. do limitu 2500 Kč</w:t>
      </w:r>
      <w:r w:rsidRPr="00802B9C">
        <w:rPr>
          <w:rFonts w:ascii="Calibri" w:hAnsi="Calibri" w:cs="Arial"/>
          <w:color w:val="000000"/>
          <w:sz w:val="22"/>
          <w:szCs w:val="22"/>
        </w:rPr>
        <w:t>) i v zahraničí (min. do limitu 5 000 Kč)</w:t>
      </w:r>
    </w:p>
    <w:p w:rsidR="00802B9C" w:rsidRPr="00802B9C" w:rsidRDefault="00802B9C" w:rsidP="00802B9C">
      <w:pPr>
        <w:numPr>
          <w:ilvl w:val="1"/>
          <w:numId w:val="2"/>
        </w:numPr>
        <w:adjustRightInd w:val="0"/>
        <w:spacing w:after="120" w:line="240" w:lineRule="auto"/>
        <w:rPr>
          <w:rFonts w:ascii="Calibri" w:hAnsi="Calibri" w:cs="Arial"/>
          <w:color w:val="000000"/>
          <w:sz w:val="22"/>
          <w:szCs w:val="22"/>
        </w:rPr>
      </w:pPr>
      <w:r w:rsidRPr="00802B9C">
        <w:rPr>
          <w:rFonts w:ascii="Calibri" w:hAnsi="Calibri" w:cs="Arial"/>
          <w:color w:val="000000"/>
          <w:sz w:val="22"/>
          <w:szCs w:val="22"/>
        </w:rPr>
        <w:t>vyproštění vozidla, oprava na místě a odtah zdarma</w:t>
      </w:r>
    </w:p>
    <w:p w:rsidR="00156CF1" w:rsidRDefault="00156CF1" w:rsidP="00802B9C">
      <w:pPr>
        <w:spacing w:line="240" w:lineRule="auto"/>
        <w:rPr>
          <w:rFonts w:ascii="Arial" w:hAnsi="Arial" w:cs="Arial"/>
          <w:sz w:val="20"/>
          <w:szCs w:val="20"/>
        </w:rPr>
      </w:pPr>
    </w:p>
    <w:p w:rsidR="005229D2" w:rsidRPr="007004EC" w:rsidRDefault="005229D2" w:rsidP="00802B9C">
      <w:pPr>
        <w:spacing w:line="240" w:lineRule="auto"/>
        <w:ind w:left="720"/>
        <w:rPr>
          <w:rFonts w:ascii="Calibri" w:hAnsi="Calibri"/>
        </w:rPr>
      </w:pPr>
    </w:p>
    <w:p w:rsidR="005229D2" w:rsidRDefault="005229D2" w:rsidP="00802B9C">
      <w:pPr>
        <w:spacing w:after="120" w:line="240" w:lineRule="auto"/>
        <w:rPr>
          <w:rFonts w:ascii="Calibri" w:hAnsi="Calibri"/>
          <w:b/>
          <w:u w:val="single"/>
        </w:rPr>
      </w:pPr>
      <w:r w:rsidRPr="00F43D74">
        <w:rPr>
          <w:rFonts w:ascii="Calibri" w:hAnsi="Calibri"/>
          <w:b/>
          <w:u w:val="single"/>
        </w:rPr>
        <w:t>Požadavky na správu</w:t>
      </w:r>
      <w:r>
        <w:rPr>
          <w:rFonts w:ascii="Calibri" w:hAnsi="Calibri"/>
          <w:b/>
          <w:u w:val="single"/>
        </w:rPr>
        <w:t xml:space="preserve"> a likvidaci pojistných událostí</w:t>
      </w:r>
      <w:r w:rsidRPr="00F43D74">
        <w:rPr>
          <w:rFonts w:ascii="Calibri" w:hAnsi="Calibri"/>
          <w:b/>
          <w:u w:val="single"/>
        </w:rPr>
        <w:t>:</w:t>
      </w:r>
    </w:p>
    <w:p w:rsidR="005229D2" w:rsidRPr="00F43D74" w:rsidRDefault="005229D2" w:rsidP="00802B9C">
      <w:pPr>
        <w:spacing w:after="120" w:line="240" w:lineRule="auto"/>
        <w:rPr>
          <w:rFonts w:ascii="Calibri" w:hAnsi="Calibri"/>
          <w:b/>
          <w:u w:val="single"/>
        </w:rPr>
      </w:pPr>
    </w:p>
    <w:p w:rsidR="005229D2" w:rsidRDefault="005229D2" w:rsidP="00802B9C">
      <w:pPr>
        <w:pStyle w:val="Odstavecseseznamem"/>
        <w:numPr>
          <w:ilvl w:val="0"/>
          <w:numId w:val="2"/>
        </w:numPr>
        <w:spacing w:after="120"/>
        <w:jc w:val="both"/>
      </w:pPr>
      <w:r>
        <w:t xml:space="preserve">Dvě pojistné smlouvy </w:t>
      </w:r>
      <w:r w:rsidRPr="009F3A97">
        <w:t xml:space="preserve">s garancí sazeb na 24 měsíců (počátek pojištění </w:t>
      </w:r>
      <w:proofErr w:type="gramStart"/>
      <w:r w:rsidRPr="009F3A97">
        <w:t>18.12.2013</w:t>
      </w:r>
      <w:proofErr w:type="gramEnd"/>
      <w:r w:rsidRPr="009F3A97">
        <w:t xml:space="preserve"> pro povinné ručení, havarijní pojištění přistoupí od 6.2.2014)</w:t>
      </w:r>
    </w:p>
    <w:p w:rsidR="005229D2" w:rsidRDefault="005229D2" w:rsidP="00802B9C">
      <w:pPr>
        <w:pStyle w:val="Odstavecseseznamem"/>
        <w:numPr>
          <w:ilvl w:val="0"/>
          <w:numId w:val="2"/>
        </w:numPr>
        <w:spacing w:after="120"/>
        <w:jc w:val="both"/>
      </w:pPr>
      <w:r>
        <w:t>Určený zástupce pojišťovny pro kontakt s ČSÚ</w:t>
      </w:r>
    </w:p>
    <w:p w:rsidR="005229D2" w:rsidRDefault="005229D2" w:rsidP="00802B9C">
      <w:pPr>
        <w:pStyle w:val="Odstavecseseznamem"/>
        <w:numPr>
          <w:ilvl w:val="0"/>
          <w:numId w:val="2"/>
        </w:numPr>
        <w:spacing w:after="120"/>
        <w:jc w:val="both"/>
      </w:pPr>
      <w:r>
        <w:lastRenderedPageBreak/>
        <w:t xml:space="preserve">Vedení agendy pojištění zadavatele, komplexní správa uzavřených smluv, sledování lhůt, vyúčtování pojistného ve stanovených lhůtách, </w:t>
      </w:r>
      <w:r w:rsidRPr="006E1968">
        <w:t>příprava a předkládání návrhů pro zlepšení a aktualizaci pojištění včetně návrhů a přípravy dodatků pojistných smluv</w:t>
      </w:r>
    </w:p>
    <w:p w:rsidR="005229D2" w:rsidRDefault="005229D2" w:rsidP="00802B9C">
      <w:pPr>
        <w:pStyle w:val="Odstavecseseznamem"/>
        <w:numPr>
          <w:ilvl w:val="0"/>
          <w:numId w:val="2"/>
        </w:numPr>
        <w:spacing w:after="120"/>
        <w:jc w:val="both"/>
      </w:pPr>
      <w:r>
        <w:t>V</w:t>
      </w:r>
      <w:r w:rsidRPr="009F3A97">
        <w:t xml:space="preserve">yřízení požadavků </w:t>
      </w:r>
      <w:r>
        <w:t xml:space="preserve">na správu pojištění </w:t>
      </w:r>
      <w:r w:rsidRPr="009F3A97">
        <w:t>do 24 hodin od obdržení</w:t>
      </w:r>
    </w:p>
    <w:p w:rsidR="005229D2" w:rsidRDefault="005229D2" w:rsidP="00802B9C">
      <w:pPr>
        <w:pStyle w:val="Odstavecseseznamem"/>
        <w:numPr>
          <w:ilvl w:val="0"/>
          <w:numId w:val="2"/>
        </w:numPr>
        <w:spacing w:after="120"/>
        <w:jc w:val="both"/>
      </w:pPr>
      <w:r>
        <w:t>K počátku pojištění vstoupí do pojištění vozidla v počtech a složení dle seznamu vozidel, který je přílohou č. 2 zadávacích podmínek. Pojistitel je povinen pojistit nově zařazená vozidla a stanovit pojistné poměrným dílem při nejbližším vyúčtování</w:t>
      </w:r>
    </w:p>
    <w:p w:rsidR="005229D2" w:rsidRDefault="005229D2" w:rsidP="00802B9C">
      <w:pPr>
        <w:pStyle w:val="Odstavecseseznamem"/>
        <w:numPr>
          <w:ilvl w:val="0"/>
          <w:numId w:val="2"/>
        </w:numPr>
        <w:spacing w:after="120"/>
        <w:jc w:val="both"/>
      </w:pPr>
      <w:r>
        <w:t xml:space="preserve">Konec pojistného období vozidel průběžně zařazovaných do pojištění je shodný s koncem pojistného období sjednaného v pojistné smlouvě. Sjednání pojištění nově nabytých vozidel, ukončení stávajícího pojištění jednotlivých vozidel a případné změny údajů na základě hlášení </w:t>
      </w:r>
      <w:r w:rsidRPr="006E1968">
        <w:t>v</w:t>
      </w:r>
      <w:r>
        <w:t> elektronické podobě (e-mailem)</w:t>
      </w:r>
    </w:p>
    <w:p w:rsidR="005229D2" w:rsidRPr="006E1968" w:rsidRDefault="005229D2" w:rsidP="00802B9C">
      <w:pPr>
        <w:pStyle w:val="Odstavecseseznamem"/>
        <w:numPr>
          <w:ilvl w:val="0"/>
          <w:numId w:val="2"/>
        </w:numPr>
        <w:spacing w:after="120"/>
        <w:jc w:val="both"/>
      </w:pPr>
      <w:r w:rsidRPr="006E1968">
        <w:t xml:space="preserve">Pojištění každého vozidla vznikne automaticky při převzetí vozidla zadavatelem na základě smluvního vztahu např. kupní smlouvy, leasingové smlouvy, smlouvy o výpůjčce nebo předávacího protokolu nebo jiného smluvního vztahu, kde je </w:t>
      </w:r>
      <w:r w:rsidR="000F11A9">
        <w:t>uvedeno datum převzetí vozidla z</w:t>
      </w:r>
      <w:r w:rsidRPr="006E1968">
        <w:t>adavatelem. Zadavatel je povinen nejpozději do 30 dnů po převzetí vozidla vozidlo řádně nahlásit do pojištění uchazeči. Pokud Zadavatel řádně nenahlásí vozidlo do pojištění do 30 dnů od jeho převzetí, pojištění takového vozidla nevzniklo, ledaže by byl uchazeč prokazatelně informován jiným vhodným způsobem</w:t>
      </w:r>
    </w:p>
    <w:p w:rsidR="005229D2" w:rsidRPr="006E1968" w:rsidRDefault="005229D2" w:rsidP="00802B9C">
      <w:pPr>
        <w:pStyle w:val="Odstavecseseznamem"/>
        <w:numPr>
          <w:ilvl w:val="0"/>
          <w:numId w:val="2"/>
        </w:numPr>
        <w:spacing w:after="120"/>
        <w:jc w:val="both"/>
      </w:pPr>
      <w:r w:rsidRPr="006E1968">
        <w:t>Zánik pojištění bude proveden okamžikem nahlášení změny uchazeči s tím, že dodatečně tato změna bude doložena dodáním kopie kupní smlouvy nebo kopie velkého technického průkazu, ve kterém bude změna zaznamenána nebo bude proveden zánik pojištění dohodou smluvních stran</w:t>
      </w:r>
    </w:p>
    <w:p w:rsidR="005229D2" w:rsidRPr="006E1968" w:rsidRDefault="005229D2" w:rsidP="00802B9C">
      <w:pPr>
        <w:pStyle w:val="Odstavecseseznamem"/>
        <w:numPr>
          <w:ilvl w:val="0"/>
          <w:numId w:val="2"/>
        </w:numPr>
        <w:spacing w:after="120"/>
        <w:jc w:val="both"/>
      </w:pPr>
      <w:r w:rsidRPr="006E1968">
        <w:t>Uchazeč výslovně v návrhu pojistné smlouvy uvede, že případné výluky uvedené ve všeobecných pojistných podmínkách, vztahující se na pojišťování osobních vozidel, vozidel pro přepravu osob nebo strojů, které jsou předmětem pojištění a vylučují pojištění takovýchto vozidel pro jejich povahu z pojištění (nebo se na ně nevztahuje pojistné krytí), s</w:t>
      </w:r>
      <w:r w:rsidR="000C6970">
        <w:t>e na pojištění souboru vozidel z</w:t>
      </w:r>
      <w:r w:rsidRPr="006E1968">
        <w:t>adavatele nevztahují</w:t>
      </w:r>
    </w:p>
    <w:p w:rsidR="005229D2" w:rsidRPr="006E1968" w:rsidRDefault="005229D2" w:rsidP="00802B9C">
      <w:pPr>
        <w:pStyle w:val="Odstavecseseznamem"/>
        <w:numPr>
          <w:ilvl w:val="0"/>
          <w:numId w:val="2"/>
        </w:numPr>
        <w:spacing w:after="120"/>
        <w:jc w:val="both"/>
      </w:pPr>
      <w:r w:rsidRPr="006E1968">
        <w:t>Uchazeč bude akceptovat prohlídky prováděné pojistníkem nebo servisem do výše škody 100 000,‐ Kč</w:t>
      </w:r>
    </w:p>
    <w:p w:rsidR="005229D2" w:rsidRDefault="005229D2" w:rsidP="00802B9C">
      <w:pPr>
        <w:pStyle w:val="Odstavecseseznamem"/>
        <w:numPr>
          <w:ilvl w:val="0"/>
          <w:numId w:val="2"/>
        </w:numPr>
        <w:spacing w:after="120"/>
        <w:jc w:val="both"/>
      </w:pPr>
      <w:r>
        <w:t xml:space="preserve">Předání mezinárodních pojišťovacích karet (tzv. „zelených karet“) </w:t>
      </w:r>
      <w:r w:rsidRPr="006E1968">
        <w:t>nejpozději 20 pracovních</w:t>
      </w:r>
      <w:r>
        <w:t xml:space="preserve"> dní před počátkem účinnosti pojistné smlouvy; předání mezinárodních pojišťovacích karet na následující rok (2015) nejpozději </w:t>
      </w:r>
      <w:r w:rsidRPr="006E1968">
        <w:t>20 pracov</w:t>
      </w:r>
      <w:r>
        <w:t>ních dní před vypršením platnosti předchozích pojišťovacích karet</w:t>
      </w:r>
    </w:p>
    <w:p w:rsidR="005229D2" w:rsidRDefault="005229D2" w:rsidP="00802B9C">
      <w:pPr>
        <w:pStyle w:val="Odstavecseseznamem"/>
        <w:numPr>
          <w:ilvl w:val="0"/>
          <w:numId w:val="2"/>
        </w:numPr>
        <w:spacing w:after="120"/>
        <w:jc w:val="both"/>
      </w:pPr>
      <w:r w:rsidRPr="009F3A97">
        <w:t xml:space="preserve">Frekvence splatnosti pojistného roční, s odloženou splatností do </w:t>
      </w:r>
      <w:proofErr w:type="gramStart"/>
      <w:r w:rsidRPr="009F3A97">
        <w:t>15.2. následujícího</w:t>
      </w:r>
      <w:proofErr w:type="gramEnd"/>
      <w:r w:rsidRPr="009F3A97">
        <w:t xml:space="preserve"> roku (2014, 2015), s vyúčtování</w:t>
      </w:r>
      <w:r>
        <w:t>m</w:t>
      </w:r>
      <w:r w:rsidRPr="009F3A97">
        <w:t xml:space="preserve"> změn nejpozději do 15.12. daného roku (2014, 2015)</w:t>
      </w:r>
    </w:p>
    <w:p w:rsidR="005229D2" w:rsidRDefault="005229D2" w:rsidP="00802B9C">
      <w:pPr>
        <w:pStyle w:val="Odstavecseseznamem"/>
        <w:numPr>
          <w:ilvl w:val="0"/>
          <w:numId w:val="2"/>
        </w:numPr>
        <w:spacing w:after="120"/>
        <w:jc w:val="both"/>
      </w:pPr>
      <w:r w:rsidRPr="009F3A97">
        <w:t>Délka splatnosti faktur</w:t>
      </w:r>
      <w:r>
        <w:t>:</w:t>
      </w:r>
      <w:r w:rsidRPr="009F3A97">
        <w:t xml:space="preserve"> 21 dnů</w:t>
      </w:r>
    </w:p>
    <w:p w:rsidR="0068188C" w:rsidRPr="005229D2" w:rsidRDefault="005229D2" w:rsidP="00802B9C">
      <w:pPr>
        <w:pStyle w:val="Odstavecseseznamem"/>
        <w:numPr>
          <w:ilvl w:val="0"/>
          <w:numId w:val="2"/>
        </w:numPr>
        <w:spacing w:after="120"/>
        <w:jc w:val="both"/>
        <w:rPr>
          <w:rFonts w:ascii="Arial" w:hAnsi="Arial" w:cs="Arial"/>
          <w:b/>
          <w:sz w:val="20"/>
          <w:szCs w:val="20"/>
          <w:u w:val="single"/>
        </w:rPr>
      </w:pPr>
      <w:r w:rsidRPr="009F3A97">
        <w:t>Likvidace pojistných událostí</w:t>
      </w:r>
      <w:r>
        <w:t>:</w:t>
      </w:r>
      <w:r w:rsidRPr="009F3A97">
        <w:t xml:space="preserve"> prohlídka vozidla + krycí dopis do 48 hodin od nahlášení PU pojistiteli</w:t>
      </w:r>
    </w:p>
    <w:sectPr w:rsidR="0068188C" w:rsidRPr="005229D2" w:rsidSect="009D31B1">
      <w:headerReference w:type="default" r:id="rId7"/>
      <w:footerReference w:type="default" r:id="rId8"/>
      <w:pgSz w:w="11906" w:h="16838"/>
      <w:pgMar w:top="1418" w:right="1418" w:bottom="1418" w:left="1418"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9DB" w:rsidRDefault="007739DB" w:rsidP="00B77C42">
      <w:pPr>
        <w:spacing w:line="240" w:lineRule="auto"/>
      </w:pPr>
      <w:r>
        <w:separator/>
      </w:r>
    </w:p>
  </w:endnote>
  <w:endnote w:type="continuationSeparator" w:id="0">
    <w:p w:rsidR="007739DB" w:rsidRDefault="007739DB" w:rsidP="00B77C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9688"/>
      <w:docPartObj>
        <w:docPartGallery w:val="Page Numbers (Bottom of Page)"/>
        <w:docPartUnique/>
      </w:docPartObj>
    </w:sdtPr>
    <w:sdtContent>
      <w:p w:rsidR="005802E7" w:rsidRDefault="00D766FF">
        <w:pPr>
          <w:pStyle w:val="Zpat"/>
          <w:jc w:val="right"/>
        </w:pPr>
        <w:fldSimple w:instr=" PAGE   \* MERGEFORMAT ">
          <w:r w:rsidR="00EA5BD1">
            <w:rPr>
              <w:noProof/>
            </w:rPr>
            <w:t>2</w:t>
          </w:r>
        </w:fldSimple>
      </w:p>
    </w:sdtContent>
  </w:sdt>
  <w:p w:rsidR="005802E7" w:rsidRDefault="005802E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9DB" w:rsidRDefault="007739DB" w:rsidP="00B77C42">
      <w:pPr>
        <w:spacing w:line="240" w:lineRule="auto"/>
      </w:pPr>
      <w:r>
        <w:separator/>
      </w:r>
    </w:p>
  </w:footnote>
  <w:footnote w:type="continuationSeparator" w:id="0">
    <w:p w:rsidR="007739DB" w:rsidRDefault="007739DB" w:rsidP="00B77C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7F" w:rsidRPr="00E36D3C" w:rsidRDefault="00884B7F" w:rsidP="00884B7F">
    <w:pPr>
      <w:tabs>
        <w:tab w:val="right" w:pos="9072"/>
      </w:tabs>
      <w:spacing w:line="230" w:lineRule="exact"/>
      <w:rPr>
        <w:rFonts w:ascii="Arial" w:hAnsi="Arial" w:cs="Arial"/>
        <w:color w:val="006AAF"/>
        <w:sz w:val="20"/>
        <w:szCs w:val="20"/>
      </w:rPr>
    </w:pPr>
    <w:r>
      <w:rPr>
        <w:noProof/>
        <w:sz w:val="20"/>
        <w:szCs w:val="20"/>
      </w:rPr>
      <w:drawing>
        <wp:anchor distT="0" distB="0" distL="114300" distR="114300" simplePos="0" relativeHeight="251660288" behindDoc="1" locked="0" layoutInCell="1" allowOverlap="1">
          <wp:simplePos x="0" y="0"/>
          <wp:positionH relativeFrom="page">
            <wp:posOffset>4939665</wp:posOffset>
          </wp:positionH>
          <wp:positionV relativeFrom="page">
            <wp:posOffset>226060</wp:posOffset>
          </wp:positionV>
          <wp:extent cx="1713865" cy="421005"/>
          <wp:effectExtent l="19050" t="0" r="63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713865" cy="421005"/>
                  </a:xfrm>
                  <a:prstGeom prst="rect">
                    <a:avLst/>
                  </a:prstGeom>
                  <a:noFill/>
                  <a:ln w="9525">
                    <a:noFill/>
                    <a:miter lim="800000"/>
                    <a:headEnd/>
                    <a:tailEnd/>
                  </a:ln>
                </pic:spPr>
              </pic:pic>
            </a:graphicData>
          </a:graphic>
        </wp:anchor>
      </w:drawing>
    </w:r>
    <w:r w:rsidRPr="00E36D3C">
      <w:rPr>
        <w:rFonts w:ascii="Arial" w:hAnsi="Arial" w:cs="Arial"/>
        <w:color w:val="006AAF"/>
        <w:sz w:val="20"/>
        <w:szCs w:val="20"/>
      </w:rPr>
      <w:t xml:space="preserve">Příloha č. </w:t>
    </w:r>
    <w:r w:rsidR="006C58A1">
      <w:rPr>
        <w:rFonts w:ascii="Arial" w:hAnsi="Arial" w:cs="Arial"/>
        <w:color w:val="006AAF"/>
        <w:sz w:val="20"/>
        <w:szCs w:val="20"/>
      </w:rPr>
      <w:t>1</w:t>
    </w:r>
    <w:r>
      <w:rPr>
        <w:rFonts w:ascii="Arial" w:hAnsi="Arial" w:cs="Arial"/>
        <w:color w:val="006AAF"/>
        <w:sz w:val="20"/>
        <w:szCs w:val="20"/>
      </w:rPr>
      <w:t xml:space="preserve"> k Z</w:t>
    </w:r>
    <w:r w:rsidRPr="00E36D3C">
      <w:rPr>
        <w:rFonts w:ascii="Arial" w:hAnsi="Arial" w:cs="Arial"/>
        <w:color w:val="006AAF"/>
        <w:sz w:val="20"/>
        <w:szCs w:val="20"/>
      </w:rPr>
      <w:t>adávací</w:t>
    </w:r>
    <w:r>
      <w:rPr>
        <w:rFonts w:ascii="Arial" w:hAnsi="Arial" w:cs="Arial"/>
        <w:color w:val="006AAF"/>
        <w:sz w:val="20"/>
        <w:szCs w:val="20"/>
      </w:rPr>
      <w:t>m</w:t>
    </w:r>
    <w:r w:rsidRPr="00E36D3C">
      <w:rPr>
        <w:rFonts w:ascii="Arial" w:hAnsi="Arial" w:cs="Arial"/>
        <w:color w:val="006AAF"/>
        <w:sz w:val="20"/>
        <w:szCs w:val="20"/>
      </w:rPr>
      <w:t xml:space="preserve"> podmín</w:t>
    </w:r>
    <w:r>
      <w:rPr>
        <w:rFonts w:ascii="Arial" w:hAnsi="Arial" w:cs="Arial"/>
        <w:color w:val="006AAF"/>
        <w:sz w:val="20"/>
        <w:szCs w:val="20"/>
      </w:rPr>
      <w:t>kám</w:t>
    </w:r>
  </w:p>
  <w:p w:rsidR="00884B7F" w:rsidRDefault="00884B7F" w:rsidP="00884B7F">
    <w:pPr>
      <w:pStyle w:val="Zhlav"/>
      <w:ind w:left="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C48FB"/>
    <w:multiLevelType w:val="hybridMultilevel"/>
    <w:tmpl w:val="92A09B1A"/>
    <w:lvl w:ilvl="0" w:tplc="04050001">
      <w:start w:val="1"/>
      <w:numFmt w:val="bullet"/>
      <w:lvlText w:val=""/>
      <w:lvlJc w:val="left"/>
      <w:pPr>
        <w:ind w:left="644" w:hanging="360"/>
      </w:pPr>
      <w:rPr>
        <w:rFonts w:ascii="Symbol" w:hAnsi="Symbol" w:hint="default"/>
      </w:rPr>
    </w:lvl>
    <w:lvl w:ilvl="1" w:tplc="04050005">
      <w:start w:val="1"/>
      <w:numFmt w:val="bullet"/>
      <w:lvlText w:val=""/>
      <w:lvlJc w:val="left"/>
      <w:pPr>
        <w:ind w:left="1364" w:hanging="360"/>
      </w:pPr>
      <w:rPr>
        <w:rFonts w:ascii="Wingdings" w:hAnsi="Wingdings"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4E4E3927"/>
    <w:multiLevelType w:val="hybridMultilevel"/>
    <w:tmpl w:val="79EA6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813036"/>
    <w:rsid w:val="000332D3"/>
    <w:rsid w:val="00096156"/>
    <w:rsid w:val="000A46D7"/>
    <w:rsid w:val="000C6970"/>
    <w:rsid w:val="000E4AFF"/>
    <w:rsid w:val="000F11A9"/>
    <w:rsid w:val="00156CF1"/>
    <w:rsid w:val="001863B8"/>
    <w:rsid w:val="00195670"/>
    <w:rsid w:val="001B07A5"/>
    <w:rsid w:val="00211FCB"/>
    <w:rsid w:val="002530B1"/>
    <w:rsid w:val="003442AE"/>
    <w:rsid w:val="00387F56"/>
    <w:rsid w:val="00482FB1"/>
    <w:rsid w:val="005229D2"/>
    <w:rsid w:val="00574E85"/>
    <w:rsid w:val="005802E7"/>
    <w:rsid w:val="005C490F"/>
    <w:rsid w:val="00621899"/>
    <w:rsid w:val="0068188C"/>
    <w:rsid w:val="006C58A1"/>
    <w:rsid w:val="007024D1"/>
    <w:rsid w:val="007739DB"/>
    <w:rsid w:val="0079629E"/>
    <w:rsid w:val="007A65D8"/>
    <w:rsid w:val="007B55A9"/>
    <w:rsid w:val="007C22E5"/>
    <w:rsid w:val="00802B9C"/>
    <w:rsid w:val="00813036"/>
    <w:rsid w:val="008207CD"/>
    <w:rsid w:val="00884B7F"/>
    <w:rsid w:val="0091533E"/>
    <w:rsid w:val="00946AB7"/>
    <w:rsid w:val="00A64886"/>
    <w:rsid w:val="00AE5A39"/>
    <w:rsid w:val="00B77C42"/>
    <w:rsid w:val="00BA7FF0"/>
    <w:rsid w:val="00BD2346"/>
    <w:rsid w:val="00C2780B"/>
    <w:rsid w:val="00C9717A"/>
    <w:rsid w:val="00CE3FD6"/>
    <w:rsid w:val="00D766FF"/>
    <w:rsid w:val="00D93F2C"/>
    <w:rsid w:val="00E25959"/>
    <w:rsid w:val="00E91913"/>
    <w:rsid w:val="00E94A90"/>
    <w:rsid w:val="00EA5BD1"/>
    <w:rsid w:val="00ED317F"/>
    <w:rsid w:val="00F744EA"/>
    <w:rsid w:val="00F908F6"/>
    <w:rsid w:val="00FB78CE"/>
    <w:rsid w:val="00FE0E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036"/>
    <w:pPr>
      <w:autoSpaceDE w:val="0"/>
      <w:autoSpaceDN w:val="0"/>
      <w:spacing w:after="0" w:line="264"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884B7F"/>
    <w:pPr>
      <w:keepNext/>
      <w:widowControl w:val="0"/>
      <w:adjustRightInd w:val="0"/>
      <w:spacing w:before="100" w:after="100" w:line="240" w:lineRule="auto"/>
      <w:jc w:val="lef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13036"/>
    <w:pPr>
      <w:jc w:val="center"/>
    </w:pPr>
    <w:rPr>
      <w:b/>
      <w:bCs/>
    </w:rPr>
  </w:style>
  <w:style w:type="character" w:customStyle="1" w:styleId="ZkladntextChar">
    <w:name w:val="Základní text Char"/>
    <w:basedOn w:val="Standardnpsmoodstavce"/>
    <w:link w:val="Zkladntext"/>
    <w:rsid w:val="00813036"/>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813036"/>
    <w:pPr>
      <w:tabs>
        <w:tab w:val="center" w:pos="4536"/>
        <w:tab w:val="right" w:pos="9072"/>
      </w:tabs>
    </w:pPr>
  </w:style>
  <w:style w:type="character" w:customStyle="1" w:styleId="ZpatChar">
    <w:name w:val="Zápatí Char"/>
    <w:basedOn w:val="Standardnpsmoodstavce"/>
    <w:link w:val="Zpat"/>
    <w:uiPriority w:val="99"/>
    <w:rsid w:val="00813036"/>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884B7F"/>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884B7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9"/>
    <w:rsid w:val="00884B7F"/>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E94A90"/>
    <w:pPr>
      <w:autoSpaceDE/>
      <w:autoSpaceDN/>
      <w:spacing w:line="240"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614</Words>
  <Characters>3629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Service</dc:creator>
  <cp:keywords/>
  <dc:description/>
  <cp:lastModifiedBy>System Service</cp:lastModifiedBy>
  <cp:revision>13</cp:revision>
  <dcterms:created xsi:type="dcterms:W3CDTF">2013-10-08T13:43:00Z</dcterms:created>
  <dcterms:modified xsi:type="dcterms:W3CDTF">2013-10-25T07:50:00Z</dcterms:modified>
</cp:coreProperties>
</file>